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B13" w:rsidRPr="00BF7E25" w:rsidRDefault="00BF7E25" w:rsidP="00013B13">
      <w:pPr>
        <w:rPr>
          <w:sz w:val="36"/>
          <w:szCs w:val="36"/>
        </w:rPr>
      </w:pPr>
      <w:bookmarkStart w:id="0" w:name="_Hlk158106462"/>
      <w:bookmarkStart w:id="1" w:name="_GoBack"/>
      <w:bookmarkEnd w:id="1"/>
      <w:r>
        <w:rPr>
          <w:sz w:val="36"/>
          <w:szCs w:val="36"/>
        </w:rPr>
        <w:t>Resolution Approved by P&amp;Z February 12, 2024</w:t>
      </w:r>
    </w:p>
    <w:p w:rsidR="00013B13" w:rsidRDefault="00013B13" w:rsidP="00013B13">
      <w:pPr>
        <w:rPr>
          <w:b/>
          <w:szCs w:val="24"/>
        </w:rPr>
      </w:pPr>
    </w:p>
    <w:p w:rsidR="00013B13" w:rsidRDefault="00013B13" w:rsidP="00013B13">
      <w:pPr>
        <w:rPr>
          <w:b/>
          <w:szCs w:val="24"/>
        </w:rPr>
      </w:pPr>
    </w:p>
    <w:p w:rsidR="00013B13" w:rsidRDefault="00013B13" w:rsidP="00013B13">
      <w:pPr>
        <w:rPr>
          <w:b/>
          <w:szCs w:val="24"/>
        </w:rPr>
      </w:pPr>
    </w:p>
    <w:p w:rsidR="00013B13" w:rsidRDefault="00013B13" w:rsidP="00013B13">
      <w:pPr>
        <w:rPr>
          <w:b/>
          <w:szCs w:val="24"/>
        </w:rPr>
      </w:pPr>
    </w:p>
    <w:p w:rsidR="00013B13" w:rsidRDefault="00013B13" w:rsidP="00013B13">
      <w:pPr>
        <w:rPr>
          <w:szCs w:val="24"/>
        </w:rPr>
      </w:pPr>
      <w:r>
        <w:rPr>
          <w:b/>
          <w:szCs w:val="24"/>
        </w:rPr>
        <w:t>RESOLUTION # REG#24-407</w:t>
      </w:r>
      <w:r>
        <w:rPr>
          <w:szCs w:val="24"/>
        </w:rPr>
        <w:tab/>
      </w:r>
    </w:p>
    <w:p w:rsidR="00013B13" w:rsidRDefault="00AD5C12" w:rsidP="00013B13">
      <w:pPr>
        <w:rPr>
          <w:szCs w:val="24"/>
        </w:rPr>
      </w:pPr>
      <w:r>
        <w:rPr>
          <w:szCs w:val="24"/>
        </w:rPr>
        <w:t>February 12</w:t>
      </w:r>
      <w:r w:rsidR="00013B13">
        <w:rPr>
          <w:szCs w:val="24"/>
        </w:rPr>
        <w:t>, 2024</w:t>
      </w:r>
    </w:p>
    <w:p w:rsidR="00013B13" w:rsidRDefault="00013B13" w:rsidP="00013B13">
      <w:pPr>
        <w:pStyle w:val="NoSpacing"/>
        <w:rPr>
          <w:szCs w:val="24"/>
        </w:rPr>
      </w:pPr>
    </w:p>
    <w:p w:rsidR="00013B13" w:rsidRDefault="00013B13" w:rsidP="00013B13">
      <w:pPr>
        <w:pStyle w:val="NoSpacing"/>
        <w:rPr>
          <w:szCs w:val="24"/>
        </w:rPr>
      </w:pPr>
      <w:r>
        <w:rPr>
          <w:b/>
          <w:szCs w:val="24"/>
        </w:rPr>
        <w:t>WHEREAS,</w:t>
      </w:r>
      <w:r>
        <w:rPr>
          <w:szCs w:val="24"/>
        </w:rPr>
        <w:t xml:space="preserve"> the Wilton Planning and Zoning Commission submitted  application Reg  </w:t>
      </w:r>
      <w:r>
        <w:rPr>
          <w:b/>
          <w:szCs w:val="24"/>
        </w:rPr>
        <w:t>#24-407</w:t>
      </w:r>
      <w:r>
        <w:rPr>
          <w:szCs w:val="24"/>
        </w:rPr>
        <w:t>, requesting revisions to  Section 29-2.B Definitions and Section  29-8.B.5 Off Street Parking Regulations of the Zoning Regulations of the Town of Wilton, Connecticut regarding Electrical Vehicle Charging Stations;</w:t>
      </w:r>
    </w:p>
    <w:p w:rsidR="00013B13" w:rsidRDefault="00013B13" w:rsidP="00013B13">
      <w:pPr>
        <w:pStyle w:val="NoSpacing"/>
        <w:rPr>
          <w:szCs w:val="24"/>
          <w:u w:val="single"/>
        </w:rPr>
      </w:pPr>
    </w:p>
    <w:p w:rsidR="00013B13" w:rsidRDefault="00013B13" w:rsidP="00013B13">
      <w:pPr>
        <w:pStyle w:val="NoSpacing"/>
        <w:rPr>
          <w:szCs w:val="24"/>
        </w:rPr>
      </w:pPr>
      <w:r>
        <w:rPr>
          <w:b/>
          <w:szCs w:val="24"/>
        </w:rPr>
        <w:t>WHEREAS,</w:t>
      </w:r>
      <w:r>
        <w:rPr>
          <w:szCs w:val="24"/>
        </w:rPr>
        <w:t xml:space="preserve"> the Planning and Zoning Commission conducted a public hearing on January 22, 2024</w:t>
      </w:r>
      <w:r w:rsidR="00BF7E25">
        <w:rPr>
          <w:szCs w:val="24"/>
        </w:rPr>
        <w:t xml:space="preserve"> and February 12, 2024</w:t>
      </w:r>
      <w:r>
        <w:rPr>
          <w:szCs w:val="24"/>
        </w:rPr>
        <w:t xml:space="preserve"> to receive comment and testimony from the applicant and the public; and the Commission fully discussed and considered all submitted evidence at </w:t>
      </w:r>
      <w:r w:rsidR="00BF7E25">
        <w:rPr>
          <w:szCs w:val="24"/>
        </w:rPr>
        <w:t>its</w:t>
      </w:r>
      <w:r>
        <w:rPr>
          <w:szCs w:val="24"/>
        </w:rPr>
        <w:t xml:space="preserve"> hearing of</w:t>
      </w:r>
      <w:r w:rsidR="00BF7E25">
        <w:rPr>
          <w:szCs w:val="24"/>
        </w:rPr>
        <w:t xml:space="preserve"> February 12</w:t>
      </w:r>
      <w:r>
        <w:rPr>
          <w:szCs w:val="24"/>
        </w:rPr>
        <w:t xml:space="preserve"> , 2024. </w:t>
      </w:r>
    </w:p>
    <w:p w:rsidR="00013B13" w:rsidRDefault="00013B13" w:rsidP="00013B13">
      <w:pPr>
        <w:pStyle w:val="NoSpacing"/>
        <w:rPr>
          <w:szCs w:val="24"/>
        </w:rPr>
      </w:pPr>
    </w:p>
    <w:p w:rsidR="00013B13" w:rsidRDefault="00013B13" w:rsidP="00013B13">
      <w:pPr>
        <w:pStyle w:val="NoSpacing"/>
        <w:rPr>
          <w:szCs w:val="24"/>
        </w:rPr>
      </w:pPr>
      <w:r>
        <w:rPr>
          <w:b/>
          <w:szCs w:val="24"/>
        </w:rPr>
        <w:t>WHEREAS,</w:t>
      </w:r>
      <w:r>
        <w:rPr>
          <w:szCs w:val="24"/>
        </w:rPr>
        <w:t xml:space="preserve"> the proposed regulation amendment was referred to the Western Connecticut Council of Governments (WestCOG) for review and comment and those comments (“…that the proposal is of local interest and with minimal intermunicipal impact “).</w:t>
      </w:r>
    </w:p>
    <w:p w:rsidR="00013B13" w:rsidRDefault="00013B13" w:rsidP="00013B13">
      <w:pPr>
        <w:pStyle w:val="NoSpacing"/>
        <w:rPr>
          <w:szCs w:val="24"/>
        </w:rPr>
      </w:pPr>
    </w:p>
    <w:p w:rsidR="00013B13" w:rsidRDefault="00013B13" w:rsidP="00013B13">
      <w:pPr>
        <w:pStyle w:val="NoSpacing"/>
        <w:rPr>
          <w:b/>
          <w:color w:val="FF0000"/>
          <w:szCs w:val="24"/>
        </w:rPr>
      </w:pPr>
    </w:p>
    <w:p w:rsidR="00013B13" w:rsidRDefault="00013B13" w:rsidP="00013B13">
      <w:pPr>
        <w:pStyle w:val="NoSpacing"/>
        <w:rPr>
          <w:szCs w:val="24"/>
        </w:rPr>
      </w:pPr>
      <w:r>
        <w:rPr>
          <w:b/>
          <w:szCs w:val="24"/>
        </w:rPr>
        <w:t>WHEREAS,</w:t>
      </w:r>
      <w:r>
        <w:rPr>
          <w:szCs w:val="24"/>
        </w:rPr>
        <w:t xml:space="preserve"> the proposed regulation amendments are consistent with various goals and objectives of the Wilton 2019 Plan of Conservation and Development: </w:t>
      </w:r>
    </w:p>
    <w:p w:rsidR="00013B13" w:rsidRDefault="00013B13" w:rsidP="00013B13">
      <w:pPr>
        <w:pStyle w:val="NoSpacing"/>
        <w:rPr>
          <w:szCs w:val="24"/>
        </w:rPr>
      </w:pPr>
    </w:p>
    <w:p w:rsidR="00013B13" w:rsidRDefault="00013B13" w:rsidP="00013B13">
      <w:pPr>
        <w:pStyle w:val="NoSpacing"/>
        <w:numPr>
          <w:ilvl w:val="0"/>
          <w:numId w:val="5"/>
        </w:numPr>
        <w:rPr>
          <w:szCs w:val="24"/>
        </w:rPr>
      </w:pPr>
      <w:r>
        <w:rPr>
          <w:szCs w:val="24"/>
        </w:rPr>
        <w:t xml:space="preserve">To enhance Wilton’s transportation network for all modes and users  (pg.23);  </w:t>
      </w:r>
    </w:p>
    <w:p w:rsidR="00013B13" w:rsidRDefault="00013B13" w:rsidP="00013B13">
      <w:pPr>
        <w:pStyle w:val="NoSpacing"/>
        <w:ind w:left="720"/>
        <w:rPr>
          <w:szCs w:val="24"/>
        </w:rPr>
      </w:pPr>
    </w:p>
    <w:p w:rsidR="00013B13" w:rsidRPr="00013B13" w:rsidRDefault="00013B13" w:rsidP="00013B13">
      <w:pPr>
        <w:pStyle w:val="NoSpacing"/>
        <w:numPr>
          <w:ilvl w:val="0"/>
          <w:numId w:val="5"/>
        </w:numPr>
        <w:rPr>
          <w:szCs w:val="24"/>
        </w:rPr>
      </w:pPr>
      <w:r>
        <w:rPr>
          <w:szCs w:val="24"/>
        </w:rPr>
        <w:t>To promote energy efficiency and resiliency  (pg. 37):</w:t>
      </w:r>
    </w:p>
    <w:p w:rsidR="00013B13" w:rsidRDefault="00013B13" w:rsidP="00013B13">
      <w:pPr>
        <w:pStyle w:val="NoSpacing"/>
        <w:rPr>
          <w:szCs w:val="24"/>
        </w:rPr>
      </w:pPr>
    </w:p>
    <w:p w:rsidR="00013B13" w:rsidRDefault="00013B13" w:rsidP="00013B13">
      <w:pPr>
        <w:pStyle w:val="NoSpacing"/>
        <w:rPr>
          <w:szCs w:val="24"/>
        </w:rPr>
      </w:pPr>
      <w:r>
        <w:rPr>
          <w:b/>
          <w:szCs w:val="24"/>
        </w:rPr>
        <w:t xml:space="preserve">WHEREAS, </w:t>
      </w:r>
      <w:r>
        <w:rPr>
          <w:szCs w:val="24"/>
        </w:rPr>
        <w:t>following debate, deliberation and due consideration, the Commission has made the findings herein and is of the opinion that the requested regulation changes advance these stated goals and has determined that the proposed regulation amendments are appropriate.</w:t>
      </w:r>
    </w:p>
    <w:p w:rsidR="00013B13" w:rsidRDefault="00013B13" w:rsidP="00013B13">
      <w:pPr>
        <w:pStyle w:val="NoSpacing"/>
        <w:rPr>
          <w:szCs w:val="24"/>
        </w:rPr>
      </w:pPr>
    </w:p>
    <w:p w:rsidR="00013B13" w:rsidRDefault="00013B13" w:rsidP="00013B13">
      <w:pPr>
        <w:pStyle w:val="NoSpacing"/>
        <w:rPr>
          <w:szCs w:val="24"/>
        </w:rPr>
      </w:pPr>
      <w:r>
        <w:rPr>
          <w:b/>
          <w:szCs w:val="24"/>
        </w:rPr>
        <w:t>NOW THEREFORE BE IT RESOLVED</w:t>
      </w:r>
      <w:r>
        <w:rPr>
          <w:szCs w:val="24"/>
        </w:rPr>
        <w:t xml:space="preserve"> that the Wilton Planning and Zoning Commission </w:t>
      </w:r>
      <w:r>
        <w:rPr>
          <w:b/>
          <w:szCs w:val="24"/>
        </w:rPr>
        <w:t>APPROVES</w:t>
      </w:r>
      <w:r>
        <w:rPr>
          <w:szCs w:val="24"/>
        </w:rPr>
        <w:t xml:space="preserve"> amendment </w:t>
      </w:r>
      <w:r>
        <w:rPr>
          <w:b/>
          <w:szCs w:val="24"/>
        </w:rPr>
        <w:t xml:space="preserve">Reg #24-407 Electric Vehicle Charging Stations  </w:t>
      </w:r>
      <w:r>
        <w:rPr>
          <w:szCs w:val="24"/>
        </w:rPr>
        <w:t xml:space="preserve">effective February </w:t>
      </w:r>
      <w:r w:rsidR="00BF7E25">
        <w:rPr>
          <w:szCs w:val="24"/>
        </w:rPr>
        <w:t>24</w:t>
      </w:r>
      <w:r>
        <w:rPr>
          <w:szCs w:val="24"/>
        </w:rPr>
        <w:t>, 2024, as follows:</w:t>
      </w:r>
    </w:p>
    <w:p w:rsidR="00013B13" w:rsidRDefault="00013B13" w:rsidP="00013B13">
      <w:pPr>
        <w:pStyle w:val="NoSpacing"/>
        <w:rPr>
          <w:szCs w:val="24"/>
        </w:rPr>
      </w:pPr>
    </w:p>
    <w:p w:rsidR="00013B13" w:rsidRDefault="00013B13" w:rsidP="00013B13">
      <w:pPr>
        <w:pStyle w:val="NoSpacing"/>
        <w:rPr>
          <w:szCs w:val="24"/>
        </w:rPr>
      </w:pPr>
    </w:p>
    <w:p w:rsidR="00013B13" w:rsidRDefault="00013B13" w:rsidP="00013B13">
      <w:pPr>
        <w:pStyle w:val="Default"/>
        <w:rPr>
          <w:rFonts w:ascii="Times New Roman" w:hAnsi="Times New Roman" w:cs="Times New Roman"/>
          <w:iCs/>
          <w:color w:val="auto"/>
        </w:rPr>
      </w:pPr>
      <w:r>
        <w:rPr>
          <w:rFonts w:ascii="Times New Roman" w:hAnsi="Times New Roman" w:cs="Times New Roman"/>
          <w:iCs/>
          <w:color w:val="auto"/>
        </w:rPr>
        <w:t xml:space="preserve">Amend Sections </w:t>
      </w:r>
      <w:r>
        <w:rPr>
          <w:rFonts w:ascii="Times New Roman" w:hAnsi="Times New Roman" w:cs="Times New Roman"/>
        </w:rPr>
        <w:t>29-2.B.9</w:t>
      </w:r>
      <w:r>
        <w:rPr>
          <w:rFonts w:ascii="Times New Roman" w:hAnsi="Times New Roman" w:cs="Times New Roman"/>
          <w:iCs/>
          <w:color w:val="auto"/>
        </w:rPr>
        <w:t xml:space="preserve"> and Section 29-8.B.5of the Wilton Zoning Regulations to read as follows:  (New Language is </w:t>
      </w:r>
      <w:r w:rsidRPr="00DA43C4">
        <w:rPr>
          <w:rFonts w:ascii="Times New Roman" w:hAnsi="Times New Roman" w:cs="Times New Roman"/>
          <w:b/>
          <w:iCs/>
          <w:color w:val="auto"/>
          <w:u w:val="single"/>
        </w:rPr>
        <w:t>bold and  underlined</w:t>
      </w:r>
      <w:r w:rsidR="00BF7E25">
        <w:rPr>
          <w:rFonts w:ascii="Times New Roman" w:hAnsi="Times New Roman" w:cs="Times New Roman"/>
          <w:b/>
          <w:iCs/>
          <w:color w:val="auto"/>
          <w:u w:val="single"/>
        </w:rPr>
        <w:t>).</w:t>
      </w:r>
    </w:p>
    <w:p w:rsidR="00013B13" w:rsidRDefault="00013B13" w:rsidP="00013B13"/>
    <w:p w:rsidR="00013B13" w:rsidRDefault="00013B13" w:rsidP="00013B13">
      <w:r>
        <w:t>New Definitions to be added:</w:t>
      </w:r>
    </w:p>
    <w:bookmarkEnd w:id="0"/>
    <w:p w:rsidR="00013B13" w:rsidRPr="00013B13" w:rsidRDefault="00013B13" w:rsidP="00013B13">
      <w:pPr>
        <w:rPr>
          <w:b/>
        </w:rPr>
      </w:pPr>
    </w:p>
    <w:p w:rsidR="00013B13" w:rsidRPr="00013B13" w:rsidRDefault="00013B13" w:rsidP="00013B13">
      <w:pPr>
        <w:rPr>
          <w:b/>
          <w:u w:val="single"/>
        </w:rPr>
      </w:pPr>
      <w:r w:rsidRPr="00013B13">
        <w:rPr>
          <w:b/>
          <w:u w:val="single"/>
        </w:rPr>
        <w:t>29-2.B.51.a. Electric Vehicle: Any battery electric vehicle, fuel cell electric vehicle, plug-in hybrid electric vehicle or range extended battery electric vehicle.</w:t>
      </w:r>
    </w:p>
    <w:p w:rsidR="00013B13" w:rsidRPr="00013B13" w:rsidRDefault="00013B13" w:rsidP="00013B13">
      <w:pPr>
        <w:rPr>
          <w:b/>
          <w:u w:val="single"/>
        </w:rPr>
      </w:pPr>
    </w:p>
    <w:p w:rsidR="00013B13" w:rsidRPr="00013B13" w:rsidRDefault="00013B13" w:rsidP="00013B13">
      <w:pPr>
        <w:rPr>
          <w:b/>
          <w:u w:val="single"/>
        </w:rPr>
      </w:pPr>
      <w:r w:rsidRPr="00013B13">
        <w:rPr>
          <w:b/>
          <w:u w:val="single"/>
        </w:rPr>
        <w:t>29-2.B.51.b.  Electric Vehicle Charging Station (EVCS) : An electric component assembly or cluster of component assemblies designed specifically to charge batteries within electric vehicles by permitting the transfer of electric energy to a battery or other storage device in an electric vehicle</w:t>
      </w:r>
    </w:p>
    <w:p w:rsidR="00013B13" w:rsidRPr="00013B13" w:rsidRDefault="00013B13" w:rsidP="00013B13">
      <w:pPr>
        <w:rPr>
          <w:b/>
          <w:u w:val="single"/>
        </w:rPr>
      </w:pPr>
    </w:p>
    <w:p w:rsidR="00013B13" w:rsidRPr="00013B13" w:rsidRDefault="00013B13" w:rsidP="00013B13">
      <w:pPr>
        <w:rPr>
          <w:b/>
          <w:u w:val="single"/>
        </w:rPr>
      </w:pPr>
      <w:r w:rsidRPr="00013B13">
        <w:rPr>
          <w:b/>
          <w:u w:val="single"/>
        </w:rPr>
        <w:t>29-2.B.51.c.  Electric Vehicle Direct Current Fast Charging Station: Means an electric vehicle charging station that utilizes direct current electricity providing forty kilowatts or greater</w:t>
      </w:r>
    </w:p>
    <w:p w:rsidR="00013B13" w:rsidRPr="00013B13" w:rsidRDefault="00013B13" w:rsidP="00013B13">
      <w:pPr>
        <w:rPr>
          <w:b/>
          <w:u w:val="single"/>
        </w:rPr>
      </w:pPr>
    </w:p>
    <w:p w:rsidR="00013B13" w:rsidRPr="00013B13" w:rsidRDefault="00013B13" w:rsidP="00013B13">
      <w:pPr>
        <w:rPr>
          <w:b/>
          <w:u w:val="single"/>
        </w:rPr>
      </w:pPr>
      <w:r w:rsidRPr="00013B13">
        <w:rPr>
          <w:b/>
          <w:u w:val="single"/>
        </w:rPr>
        <w:t xml:space="preserve">29-2.B.51.d.  Electric Vehicle Level Two Charging Station: Means an electric vehicle charging station that supplies two hundred eight to two hundred forty volts alternating current </w:t>
      </w:r>
    </w:p>
    <w:p w:rsidR="00013B13" w:rsidRPr="00013B13" w:rsidRDefault="00013B13" w:rsidP="00013B13">
      <w:pPr>
        <w:rPr>
          <w:b/>
          <w:u w:val="single"/>
        </w:rPr>
      </w:pPr>
    </w:p>
    <w:p w:rsidR="00013B13" w:rsidRPr="00013B13" w:rsidRDefault="00013B13" w:rsidP="00013B13">
      <w:pPr>
        <w:rPr>
          <w:b/>
          <w:u w:val="single"/>
        </w:rPr>
      </w:pPr>
      <w:r w:rsidRPr="00013B13">
        <w:rPr>
          <w:b/>
          <w:u w:val="single"/>
        </w:rPr>
        <w:t>Add New Section 29-8.B.5.g  Electric Vehicle Off-street Parking Requirements</w:t>
      </w:r>
    </w:p>
    <w:p w:rsidR="00013B13" w:rsidRPr="00013B13" w:rsidRDefault="00013B13" w:rsidP="00013B13">
      <w:pPr>
        <w:rPr>
          <w:b/>
          <w:u w:val="single"/>
        </w:rPr>
      </w:pPr>
    </w:p>
    <w:p w:rsidR="00431B45" w:rsidRDefault="00013B13" w:rsidP="00013B13">
      <w:pPr>
        <w:pStyle w:val="ListParagraph"/>
        <w:numPr>
          <w:ilvl w:val="0"/>
          <w:numId w:val="9"/>
        </w:numPr>
        <w:rPr>
          <w:b/>
          <w:u w:val="single"/>
        </w:rPr>
      </w:pPr>
      <w:r w:rsidRPr="00013B13">
        <w:rPr>
          <w:b/>
          <w:u w:val="single"/>
        </w:rPr>
        <w:t>Any new construction of a commercial building or multiunit residential building that requires more than thirty (30) or more designated parking spaces for cars or light duty trucks shall include electric vehicle charging infrastructure that is capable of supporting level two electric vehicle charging stations or direct current fast charging stations in at least 10% of such parking spaces.</w:t>
      </w:r>
    </w:p>
    <w:p w:rsidR="00013B13" w:rsidRPr="00BF7E25" w:rsidRDefault="00431B45" w:rsidP="00013B13">
      <w:pPr>
        <w:pStyle w:val="ListParagraph"/>
        <w:numPr>
          <w:ilvl w:val="0"/>
          <w:numId w:val="9"/>
        </w:numPr>
        <w:rPr>
          <w:b/>
          <w:u w:val="single"/>
        </w:rPr>
      </w:pPr>
      <w:r w:rsidRPr="00BF7E25">
        <w:rPr>
          <w:b/>
          <w:u w:val="single"/>
        </w:rPr>
        <w:t xml:space="preserve">New Construction shall mean an addition </w:t>
      </w:r>
      <w:r w:rsidR="00300E51" w:rsidRPr="00BF7E25">
        <w:rPr>
          <w:b/>
          <w:u w:val="single"/>
        </w:rPr>
        <w:t xml:space="preserve">and / </w:t>
      </w:r>
      <w:r w:rsidRPr="00BF7E25">
        <w:rPr>
          <w:b/>
          <w:u w:val="single"/>
        </w:rPr>
        <w:t xml:space="preserve">or new ground up construction. </w:t>
      </w:r>
      <w:r w:rsidR="008757DF" w:rsidRPr="00BF7E25">
        <w:rPr>
          <w:b/>
          <w:u w:val="single"/>
        </w:rPr>
        <w:t>Designated parking spaces shall mean additional spaces</w:t>
      </w:r>
      <w:r w:rsidR="00AF04FE" w:rsidRPr="00BF7E25">
        <w:rPr>
          <w:b/>
          <w:u w:val="single"/>
        </w:rPr>
        <w:t>,</w:t>
      </w:r>
      <w:r w:rsidR="008757DF" w:rsidRPr="00BF7E25">
        <w:rPr>
          <w:b/>
          <w:u w:val="single"/>
        </w:rPr>
        <w:t xml:space="preserve"> </w:t>
      </w:r>
      <w:r w:rsidR="00AF04FE" w:rsidRPr="00BF7E25">
        <w:rPr>
          <w:b/>
          <w:u w:val="single"/>
        </w:rPr>
        <w:t xml:space="preserve">required by the Zoning Regulations, </w:t>
      </w:r>
      <w:r w:rsidR="008757DF" w:rsidRPr="00BF7E25">
        <w:rPr>
          <w:b/>
          <w:u w:val="single"/>
        </w:rPr>
        <w:t>associated only with the new construction and does not require existing parking spaces on the site to be counted in the 10%.</w:t>
      </w:r>
      <w:r w:rsidR="00013B13" w:rsidRPr="00BF7E25">
        <w:rPr>
          <w:b/>
          <w:u w:val="single"/>
        </w:rPr>
        <w:t xml:space="preserve"> </w:t>
      </w:r>
    </w:p>
    <w:p w:rsidR="00431B45" w:rsidRDefault="00013B13" w:rsidP="00013B13">
      <w:pPr>
        <w:pStyle w:val="ListParagraph"/>
        <w:numPr>
          <w:ilvl w:val="0"/>
          <w:numId w:val="9"/>
        </w:numPr>
        <w:rPr>
          <w:b/>
          <w:u w:val="single"/>
        </w:rPr>
      </w:pPr>
      <w:r w:rsidRPr="00013B13">
        <w:rPr>
          <w:b/>
          <w:u w:val="single"/>
        </w:rPr>
        <w:t xml:space="preserve">Such charging stations  shall be considered an accessory use. </w:t>
      </w:r>
    </w:p>
    <w:p w:rsidR="00013B13" w:rsidRPr="00BF7E25" w:rsidRDefault="00431B45" w:rsidP="00013B13">
      <w:pPr>
        <w:pStyle w:val="ListParagraph"/>
        <w:numPr>
          <w:ilvl w:val="0"/>
          <w:numId w:val="9"/>
        </w:numPr>
        <w:rPr>
          <w:b/>
          <w:u w:val="single"/>
        </w:rPr>
      </w:pPr>
      <w:r w:rsidRPr="00BF7E25">
        <w:rPr>
          <w:b/>
          <w:u w:val="single"/>
        </w:rPr>
        <w:t>The EVCSs shall be located in desirable and convenient parking locations that will encourage the use of electric vehicles. Appropriate sharing of parking among EV users, ADA users and others shall be considered when allocating spaces.</w:t>
      </w:r>
      <w:r w:rsidR="00013B13" w:rsidRPr="00BF7E25">
        <w:rPr>
          <w:b/>
          <w:u w:val="single"/>
        </w:rPr>
        <w:t xml:space="preserve"> </w:t>
      </w:r>
    </w:p>
    <w:p w:rsidR="00013B13" w:rsidRPr="00013B13" w:rsidRDefault="00013B13" w:rsidP="00013B13">
      <w:pPr>
        <w:pStyle w:val="ListParagraph"/>
        <w:numPr>
          <w:ilvl w:val="0"/>
          <w:numId w:val="9"/>
        </w:numPr>
        <w:rPr>
          <w:b/>
          <w:u w:val="single"/>
        </w:rPr>
      </w:pPr>
      <w:r w:rsidRPr="00BF7E25">
        <w:rPr>
          <w:b/>
          <w:u w:val="single"/>
        </w:rPr>
        <w:t xml:space="preserve"> Each EVCS shall receive location approval from the Fire Chief</w:t>
      </w:r>
      <w:r w:rsidR="008757DF" w:rsidRPr="00BF7E25">
        <w:rPr>
          <w:b/>
          <w:u w:val="single"/>
        </w:rPr>
        <w:t xml:space="preserve"> and</w:t>
      </w:r>
      <w:r w:rsidRPr="00BF7E25">
        <w:rPr>
          <w:b/>
          <w:u w:val="single"/>
        </w:rPr>
        <w:t xml:space="preserve"> Fire Marshal and </w:t>
      </w:r>
      <w:r w:rsidR="008757DF" w:rsidRPr="00BF7E25">
        <w:rPr>
          <w:b/>
          <w:u w:val="single"/>
        </w:rPr>
        <w:t xml:space="preserve">shall also obtain </w:t>
      </w:r>
      <w:r w:rsidRPr="00BF7E25">
        <w:rPr>
          <w:b/>
          <w:u w:val="single"/>
        </w:rPr>
        <w:t xml:space="preserve">the necessary </w:t>
      </w:r>
      <w:r w:rsidRPr="00013B13">
        <w:rPr>
          <w:b/>
          <w:u w:val="single"/>
        </w:rPr>
        <w:t>Building Department permits.</w:t>
      </w:r>
    </w:p>
    <w:p w:rsidR="00013B13" w:rsidRPr="00013B13" w:rsidRDefault="00013B13" w:rsidP="00013B13">
      <w:pPr>
        <w:pStyle w:val="ListParagraph"/>
        <w:numPr>
          <w:ilvl w:val="0"/>
          <w:numId w:val="9"/>
        </w:numPr>
        <w:rPr>
          <w:b/>
          <w:u w:val="single"/>
        </w:rPr>
      </w:pPr>
      <w:r w:rsidRPr="00013B13">
        <w:rPr>
          <w:b/>
          <w:u w:val="single"/>
        </w:rPr>
        <w:t>All EVCS equipment shall be protected by wheel stops, curbs or bollards. If installed adjacent to a sidewalk, the sidewalk width shall not be diminished. Any cords shall be configured so they do not interfere with any pedestrian travel and shall not cross a driveway, sidewalk or passenger loading area.</w:t>
      </w:r>
    </w:p>
    <w:p w:rsidR="00013B13" w:rsidRPr="00013B13" w:rsidRDefault="00013B13" w:rsidP="00013B13">
      <w:pPr>
        <w:pStyle w:val="ListParagraph"/>
        <w:numPr>
          <w:ilvl w:val="0"/>
          <w:numId w:val="9"/>
        </w:numPr>
        <w:rPr>
          <w:b/>
          <w:u w:val="single"/>
        </w:rPr>
      </w:pPr>
      <w:r w:rsidRPr="00013B13">
        <w:rPr>
          <w:b/>
          <w:u w:val="single"/>
        </w:rPr>
        <w:t>The standard parking dimensions as outlined in Section 29-8.B.11 shall not be reduced by the installation of the EVCS.</w:t>
      </w:r>
    </w:p>
    <w:p w:rsidR="00013B13" w:rsidRPr="00013B13" w:rsidRDefault="00013B13" w:rsidP="00013B13">
      <w:pPr>
        <w:pStyle w:val="ListParagraph"/>
        <w:numPr>
          <w:ilvl w:val="0"/>
          <w:numId w:val="9"/>
        </w:numPr>
        <w:rPr>
          <w:b/>
          <w:u w:val="single"/>
        </w:rPr>
      </w:pPr>
      <w:r w:rsidRPr="00013B13">
        <w:rPr>
          <w:b/>
          <w:u w:val="single"/>
        </w:rPr>
        <w:t>Signs limiting the EVCS parking space to electric vehicles only shall be required.</w:t>
      </w:r>
    </w:p>
    <w:p w:rsidR="00013B13" w:rsidRPr="00013B13" w:rsidRDefault="00013B13" w:rsidP="00013B13">
      <w:pPr>
        <w:pStyle w:val="ListParagraph"/>
        <w:numPr>
          <w:ilvl w:val="0"/>
          <w:numId w:val="9"/>
        </w:numPr>
        <w:rPr>
          <w:b/>
          <w:u w:val="single"/>
        </w:rPr>
      </w:pPr>
      <w:r w:rsidRPr="00013B13">
        <w:rPr>
          <w:b/>
          <w:u w:val="single"/>
        </w:rPr>
        <w:t>The EVCS shall be maintained in good operating condition at all times.</w:t>
      </w:r>
    </w:p>
    <w:p w:rsidR="00EC4EB2" w:rsidRDefault="00013B13" w:rsidP="00013B13">
      <w:pPr>
        <w:pStyle w:val="ListParagraph"/>
        <w:numPr>
          <w:ilvl w:val="0"/>
          <w:numId w:val="9"/>
        </w:numPr>
        <w:rPr>
          <w:b/>
          <w:u w:val="single"/>
        </w:rPr>
      </w:pPr>
      <w:r w:rsidRPr="00013B13">
        <w:rPr>
          <w:b/>
          <w:u w:val="single"/>
        </w:rPr>
        <w:t>In conflict with</w:t>
      </w:r>
      <w:r>
        <w:rPr>
          <w:b/>
          <w:u w:val="single"/>
        </w:rPr>
        <w:t xml:space="preserve"> any</w:t>
      </w:r>
      <w:r w:rsidRPr="00013B13">
        <w:rPr>
          <w:b/>
          <w:u w:val="single"/>
        </w:rPr>
        <w:t xml:space="preserve"> other sections of the Wilton Zoning Regulations, this Section will govern. </w:t>
      </w:r>
    </w:p>
    <w:p w:rsidR="00013B13" w:rsidRPr="00EC4EB2" w:rsidRDefault="00EC4EB2" w:rsidP="00EC4EB2">
      <w:pPr>
        <w:jc w:val="center"/>
        <w:rPr>
          <w:b/>
          <w:u w:val="single"/>
        </w:rPr>
      </w:pPr>
      <w:r>
        <w:rPr>
          <w:b/>
          <w:u w:val="single"/>
        </w:rPr>
        <w:t>END</w:t>
      </w:r>
    </w:p>
    <w:p w:rsidR="00013B13" w:rsidRPr="00013B13" w:rsidRDefault="00013B13" w:rsidP="00013B13">
      <w:pPr>
        <w:rPr>
          <w:b/>
          <w:u w:val="single"/>
        </w:rPr>
      </w:pPr>
    </w:p>
    <w:p w:rsidR="00013B13" w:rsidRPr="00013B13" w:rsidRDefault="00013B13" w:rsidP="00013B13">
      <w:pPr>
        <w:pStyle w:val="Default"/>
        <w:rPr>
          <w:rFonts w:ascii="Times New Roman" w:hAnsi="Times New Roman" w:cs="Times New Roman"/>
          <w:iCs/>
          <w:color w:val="auto"/>
          <w:u w:val="single"/>
        </w:rPr>
      </w:pPr>
    </w:p>
    <w:sectPr w:rsidR="00013B13" w:rsidRPr="00013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354B"/>
    <w:multiLevelType w:val="hybridMultilevel"/>
    <w:tmpl w:val="88628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B4462C"/>
    <w:multiLevelType w:val="hybridMultilevel"/>
    <w:tmpl w:val="2B025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121632"/>
    <w:multiLevelType w:val="hybridMultilevel"/>
    <w:tmpl w:val="5D3E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90B52"/>
    <w:multiLevelType w:val="hybridMultilevel"/>
    <w:tmpl w:val="EDE290D8"/>
    <w:lvl w:ilvl="0" w:tplc="FB6CFBF2">
      <w:start w:val="9"/>
      <w:numFmt w:val="decimal"/>
      <w:lvlText w:val="%1."/>
      <w:lvlJc w:val="left"/>
      <w:pPr>
        <w:ind w:left="820" w:hanging="720"/>
      </w:pPr>
      <w:rPr>
        <w:rFonts w:ascii="Arial" w:eastAsia="Arial" w:hAnsi="Arial" w:cs="Arial" w:hint="default"/>
        <w:spacing w:val="-1"/>
        <w:w w:val="100"/>
        <w:sz w:val="24"/>
        <w:szCs w:val="24"/>
      </w:rPr>
    </w:lvl>
    <w:lvl w:ilvl="1" w:tplc="FF0E70FE">
      <w:start w:val="1"/>
      <w:numFmt w:val="lowerLetter"/>
      <w:lvlText w:val="%2."/>
      <w:lvlJc w:val="left"/>
      <w:pPr>
        <w:ind w:left="1540" w:hanging="720"/>
      </w:pPr>
      <w:rPr>
        <w:rFonts w:ascii="Arial" w:eastAsia="Arial" w:hAnsi="Arial" w:cs="Arial" w:hint="default"/>
        <w:spacing w:val="-16"/>
        <w:w w:val="100"/>
        <w:sz w:val="24"/>
        <w:szCs w:val="24"/>
      </w:rPr>
    </w:lvl>
    <w:lvl w:ilvl="2" w:tplc="5FCA53C6">
      <w:numFmt w:val="bullet"/>
      <w:lvlText w:val="•"/>
      <w:lvlJc w:val="left"/>
      <w:pPr>
        <w:ind w:left="2513" w:hanging="720"/>
      </w:pPr>
      <w:rPr>
        <w:rFonts w:hint="default"/>
      </w:rPr>
    </w:lvl>
    <w:lvl w:ilvl="3" w:tplc="FC724DB4">
      <w:start w:val="1"/>
      <w:numFmt w:val="lowerLetter"/>
      <w:lvlText w:val="(%4)"/>
      <w:lvlJc w:val="left"/>
      <w:pPr>
        <w:ind w:left="2153" w:hanging="360"/>
      </w:pPr>
      <w:rPr>
        <w:rFonts w:ascii="Arial" w:eastAsia="Arial" w:hAnsi="Arial" w:cs="Arial" w:hint="default"/>
        <w:spacing w:val="-22"/>
        <w:w w:val="100"/>
        <w:sz w:val="24"/>
        <w:szCs w:val="24"/>
      </w:rPr>
    </w:lvl>
    <w:lvl w:ilvl="4" w:tplc="0E7AE0FA">
      <w:numFmt w:val="bullet"/>
      <w:lvlText w:val="•"/>
      <w:lvlJc w:val="left"/>
      <w:pPr>
        <w:ind w:left="4460" w:hanging="720"/>
      </w:pPr>
      <w:rPr>
        <w:rFonts w:hint="default"/>
      </w:rPr>
    </w:lvl>
    <w:lvl w:ilvl="5" w:tplc="56BAA42C">
      <w:numFmt w:val="bullet"/>
      <w:lvlText w:val="•"/>
      <w:lvlJc w:val="left"/>
      <w:pPr>
        <w:ind w:left="5433" w:hanging="720"/>
      </w:pPr>
      <w:rPr>
        <w:rFonts w:hint="default"/>
      </w:rPr>
    </w:lvl>
    <w:lvl w:ilvl="6" w:tplc="DADEF8B2">
      <w:numFmt w:val="bullet"/>
      <w:lvlText w:val="•"/>
      <w:lvlJc w:val="left"/>
      <w:pPr>
        <w:ind w:left="6406" w:hanging="720"/>
      </w:pPr>
      <w:rPr>
        <w:rFonts w:hint="default"/>
      </w:rPr>
    </w:lvl>
    <w:lvl w:ilvl="7" w:tplc="6588AD12">
      <w:numFmt w:val="bullet"/>
      <w:lvlText w:val="•"/>
      <w:lvlJc w:val="left"/>
      <w:pPr>
        <w:ind w:left="7380" w:hanging="720"/>
      </w:pPr>
      <w:rPr>
        <w:rFonts w:hint="default"/>
      </w:rPr>
    </w:lvl>
    <w:lvl w:ilvl="8" w:tplc="069AA238">
      <w:numFmt w:val="bullet"/>
      <w:lvlText w:val="•"/>
      <w:lvlJc w:val="left"/>
      <w:pPr>
        <w:ind w:left="8353" w:hanging="720"/>
      </w:pPr>
      <w:rPr>
        <w:rFonts w:hint="default"/>
      </w:rPr>
    </w:lvl>
  </w:abstractNum>
  <w:abstractNum w:abstractNumId="4" w15:restartNumberingAfterBreak="0">
    <w:nsid w:val="510B6C20"/>
    <w:multiLevelType w:val="hybridMultilevel"/>
    <w:tmpl w:val="CDDCEC04"/>
    <w:lvl w:ilvl="0" w:tplc="012AFD08">
      <w:start w:val="1"/>
      <w:numFmt w:val="decimal"/>
      <w:lvlText w:val="(%1)"/>
      <w:lvlJc w:val="left"/>
      <w:pPr>
        <w:ind w:left="720" w:hanging="360"/>
      </w:pPr>
      <w:rPr>
        <w:rFonts w:ascii="Arial" w:eastAsia="Arial" w:hAnsi="Arial" w:cs="Arial" w:hint="default"/>
        <w:spacing w:val="-2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C480F"/>
    <w:multiLevelType w:val="hybridMultilevel"/>
    <w:tmpl w:val="3F086A46"/>
    <w:lvl w:ilvl="0" w:tplc="FFFFFFFF">
      <w:start w:val="9"/>
      <w:numFmt w:val="decimal"/>
      <w:lvlText w:val="%1."/>
      <w:lvlJc w:val="left"/>
      <w:pPr>
        <w:ind w:left="820" w:hanging="720"/>
      </w:pPr>
      <w:rPr>
        <w:rFonts w:ascii="Arial" w:eastAsia="Arial" w:hAnsi="Arial" w:cs="Arial" w:hint="default"/>
        <w:spacing w:val="-1"/>
        <w:w w:val="100"/>
        <w:sz w:val="24"/>
        <w:szCs w:val="24"/>
      </w:rPr>
    </w:lvl>
    <w:lvl w:ilvl="1" w:tplc="FFFFFFFF">
      <w:start w:val="1"/>
      <w:numFmt w:val="lowerLetter"/>
      <w:lvlText w:val="%2."/>
      <w:lvlJc w:val="left"/>
      <w:pPr>
        <w:ind w:left="1540" w:hanging="720"/>
      </w:pPr>
      <w:rPr>
        <w:rFonts w:ascii="Arial" w:eastAsia="Arial" w:hAnsi="Arial" w:cs="Arial" w:hint="default"/>
        <w:spacing w:val="-16"/>
        <w:w w:val="100"/>
        <w:sz w:val="24"/>
        <w:szCs w:val="24"/>
      </w:rPr>
    </w:lvl>
    <w:lvl w:ilvl="2" w:tplc="FFFFFFFF">
      <w:numFmt w:val="bullet"/>
      <w:lvlText w:val="•"/>
      <w:lvlJc w:val="left"/>
      <w:pPr>
        <w:ind w:left="2513" w:hanging="720"/>
      </w:pPr>
      <w:rPr>
        <w:rFonts w:hint="default"/>
      </w:rPr>
    </w:lvl>
    <w:lvl w:ilvl="3" w:tplc="FFFFFFFF">
      <w:start w:val="1"/>
      <w:numFmt w:val="lowerLetter"/>
      <w:lvlText w:val="(%4)"/>
      <w:lvlJc w:val="left"/>
      <w:pPr>
        <w:ind w:left="2153" w:hanging="360"/>
      </w:pPr>
      <w:rPr>
        <w:rFonts w:ascii="Arial" w:eastAsia="Arial" w:hAnsi="Arial" w:cs="Arial" w:hint="default"/>
        <w:spacing w:val="-22"/>
        <w:w w:val="100"/>
        <w:sz w:val="24"/>
        <w:szCs w:val="24"/>
      </w:rPr>
    </w:lvl>
    <w:lvl w:ilvl="4" w:tplc="4026450A">
      <w:numFmt w:val="bullet"/>
      <w:lvlText w:val="-"/>
      <w:lvlJc w:val="left"/>
      <w:pPr>
        <w:ind w:left="4460" w:hanging="720"/>
      </w:pPr>
      <w:rPr>
        <w:rFonts w:ascii="Yu Mincho Light" w:eastAsia="Yu Mincho Light" w:hAnsi="Yu Mincho Light" w:hint="eastAsia"/>
      </w:rPr>
    </w:lvl>
    <w:lvl w:ilvl="5" w:tplc="FFFFFFFF">
      <w:numFmt w:val="bullet"/>
      <w:lvlText w:val="•"/>
      <w:lvlJc w:val="left"/>
      <w:pPr>
        <w:ind w:left="5433" w:hanging="720"/>
      </w:pPr>
      <w:rPr>
        <w:rFonts w:hint="default"/>
      </w:rPr>
    </w:lvl>
    <w:lvl w:ilvl="6" w:tplc="FFFFFFFF">
      <w:numFmt w:val="bullet"/>
      <w:lvlText w:val="•"/>
      <w:lvlJc w:val="left"/>
      <w:pPr>
        <w:ind w:left="6406" w:hanging="720"/>
      </w:pPr>
      <w:rPr>
        <w:rFonts w:hint="default"/>
      </w:rPr>
    </w:lvl>
    <w:lvl w:ilvl="7" w:tplc="FFFFFFFF">
      <w:numFmt w:val="bullet"/>
      <w:lvlText w:val="•"/>
      <w:lvlJc w:val="left"/>
      <w:pPr>
        <w:ind w:left="7380" w:hanging="720"/>
      </w:pPr>
      <w:rPr>
        <w:rFonts w:hint="default"/>
      </w:rPr>
    </w:lvl>
    <w:lvl w:ilvl="8" w:tplc="FFFFFFFF">
      <w:numFmt w:val="bullet"/>
      <w:lvlText w:val="•"/>
      <w:lvlJc w:val="left"/>
      <w:pPr>
        <w:ind w:left="8353" w:hanging="720"/>
      </w:pPr>
      <w:rPr>
        <w:rFonts w:hint="default"/>
      </w:rPr>
    </w:lvl>
  </w:abstractNum>
  <w:abstractNum w:abstractNumId="6" w15:restartNumberingAfterBreak="0">
    <w:nsid w:val="5AB928AB"/>
    <w:multiLevelType w:val="hybridMultilevel"/>
    <w:tmpl w:val="D842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8F6077"/>
    <w:multiLevelType w:val="hybridMultilevel"/>
    <w:tmpl w:val="ED58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72212"/>
    <w:multiLevelType w:val="hybridMultilevel"/>
    <w:tmpl w:val="CDBC5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1"/>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13"/>
    <w:rsid w:val="00013B13"/>
    <w:rsid w:val="00281193"/>
    <w:rsid w:val="00300E51"/>
    <w:rsid w:val="00431B45"/>
    <w:rsid w:val="007E0708"/>
    <w:rsid w:val="008757DF"/>
    <w:rsid w:val="00AD5C12"/>
    <w:rsid w:val="00AF04FE"/>
    <w:rsid w:val="00BF7E25"/>
    <w:rsid w:val="00EC4EB2"/>
    <w:rsid w:val="00FB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FFEBD-41F4-4AE9-9EA3-89BE45C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B13"/>
    <w:pPr>
      <w:widowControl w:val="0"/>
      <w:snapToGrid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13B13"/>
    <w:pPr>
      <w:widowControl w:val="0"/>
      <w:snapToGrid w:val="0"/>
      <w:ind w:left="720"/>
    </w:pPr>
  </w:style>
  <w:style w:type="paragraph" w:customStyle="1" w:styleId="Default">
    <w:name w:val="Default"/>
    <w:rsid w:val="00013B13"/>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013B13"/>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013B13"/>
    <w:rPr>
      <w:rFonts w:ascii="Arial" w:eastAsia="Arial" w:hAnsi="Arial" w:cs="Arial"/>
      <w:sz w:val="24"/>
      <w:szCs w:val="24"/>
    </w:rPr>
  </w:style>
  <w:style w:type="paragraph" w:styleId="BalloonText">
    <w:name w:val="Balloon Text"/>
    <w:basedOn w:val="Normal"/>
    <w:link w:val="BalloonTextChar"/>
    <w:uiPriority w:val="99"/>
    <w:semiHidden/>
    <w:unhideWhenUsed/>
    <w:rsid w:val="00013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Wrinn, Michael</dc:creator>
  <cp:keywords/>
  <dc:description/>
  <cp:lastModifiedBy>Callahan, Rich</cp:lastModifiedBy>
  <cp:revision>2</cp:revision>
  <cp:lastPrinted>2024-02-14T16:06:00Z</cp:lastPrinted>
  <dcterms:created xsi:type="dcterms:W3CDTF">2024-02-14T17:02:00Z</dcterms:created>
  <dcterms:modified xsi:type="dcterms:W3CDTF">2024-02-14T17:02:00Z</dcterms:modified>
</cp:coreProperties>
</file>